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98.png" ContentType="image/png"/>
  <Override PartName="/word/media/rId104.png" ContentType="image/png"/>
  <Override PartName="/word/media/rId107.png" ContentType="image/png"/>
  <Override PartName="/word/media/rId10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and Other Biological Processes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similarities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(CC) GO category, the GO terms relate with cytoplasmic vacuolation while the GO terms under the molecular functions (MF) category broadly fit under protein binding (</w:t>
      </w:r>
      <w:r>
        <w:rPr>
          <w:b/>
          <w:bCs/>
        </w:rPr>
        <w:t xml:space="preserve">Table 2A</w:t>
      </w:r>
      <w:r>
        <w:t xml:space="preserve">). For 12-hpi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(21)</w:t>
      </w:r>
      <w:r>
        <w:t xml:space="preserve"> </w:t>
      </w:r>
      <w:r>
        <w:t xml:space="preserve">and the DAVID (Database for Annotation, Visualization and Integrated Discovery; version 2021) online resource</w:t>
      </w:r>
      <w:r>
        <w:t xml:space="preserve"> </w:t>
      </w:r>
      <w:r>
        <w:t xml:space="preserve">(22)</w:t>
      </w:r>
      <w:r>
        <w:t xml:space="preserv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Cell breakdown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 IMS associated with THEV</w:t>
      </w:r>
      <w:r>
        <w:t xml:space="preserve"> </w:t>
      </w:r>
      <w:r>
        <w:t xml:space="preserve">(8, 11, 23)</w:t>
      </w:r>
      <w:r>
        <w:t xml:space="preserve">. Hence, we are particularly interested in cellular processes and pathways associated with cell death and pathways that may affect the survivability of the host cells, thereby accounting for THEV-induced IMS. We highlight the upregulated cell death (apoptosis and autophagy) pathways, cellular metabolism,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Adenoviruses generally possess the protein, E1B 19K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a similar anti-apoptotic functions but the functions of these novel ORFs are yet to be shown</w:t>
      </w:r>
      <w:r>
        <w:t xml:space="preserve"> </w:t>
      </w:r>
      <w:r>
        <w:t xml:space="preserve">(28)</w:t>
      </w:r>
      <w:r>
        <w:t xml:space="preserve">. Our data shows that apoptotic and autophagic pathways are upregulated during THEV infection, supporting previous findings of apoptosis and necrosis of THEV-infected cells</w:t>
      </w:r>
      <w:r>
        <w:t xml:space="preserve"> </w:t>
      </w:r>
      <w:r>
        <w:t xml:space="preserve">(8, 11, 23)</w:t>
      </w:r>
      <w:r>
        <w:t xml:space="preserve">. For example, …, which are proapoptotic, were upregulated.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the cellular metabolism process for their use</w:t>
      </w:r>
    </w:p>
    <w:p>
      <w:pPr>
        <w:pStyle w:val="BodyText"/>
      </w:pPr>
      <w:r>
        <w:rPr>
          <w:b/>
          <w:bCs/>
        </w:rPr>
        <w:t xml:space="preserve">Cellular Responses to Stimuli during THEV infection</w:t>
      </w:r>
      <w:r>
        <w:br/>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(30)</w:t>
      </w:r>
      <w:r>
        <w:t xml:space="preserve">, a popular workflow management system to drive the pipeline. Briefly, raw sequencing reads were trimmed with Cutadapt - version 1.10</w:t>
      </w:r>
      <w:r>
        <w:t xml:space="preserve"> </w:t>
      </w:r>
      <w:r>
        <w:t xml:space="preserve">(31)</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(32–34)</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97" w:name="references"/>
    <w:p>
      <w:pPr>
        <w:pStyle w:val="Heading2"/>
      </w:pPr>
      <w:r>
        <w:t xml:space="preserve">REFERENCES</w:t>
      </w:r>
    </w:p>
    <w:p>
      <w:pPr>
        <w:pStyle w:val="FirstParagraph"/>
      </w:pPr>
    </w:p>
    <w:bookmarkStart w:id="9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Sherman2022"/>
    <w:p>
      <w:pPr>
        <w:pStyle w:val="Bibliography"/>
      </w:pPr>
      <w:r>
        <w:t xml:space="preserve">22.</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Mahsoub2017"/>
    <w:p>
      <w:pPr>
        <w:pStyle w:val="Bibliography"/>
      </w:pPr>
      <w:r>
        <w:t xml:space="preserve">29.</w:t>
      </w:r>
      <w:r>
        <w:t xml:space="preserve"> </w:t>
      </w:r>
      <w:r>
        <w:t xml:space="preserve">	</w:t>
      </w:r>
      <w:r>
        <w:t xml:space="preserve">Mahsoub HM, Evans NP, Beach NM, Yuan L, Zimmerman K, Pierson FW. 2017.</w:t>
      </w:r>
      <w:r>
        <w:t xml:space="preserve"> </w:t>
      </w:r>
      <w:hyperlink r:id="rId8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5"/>
    <w:bookmarkStart w:id="87" w:name="ref-Snakemake2021"/>
    <w:p>
      <w:pPr>
        <w:pStyle w:val="Bibliography"/>
      </w:pPr>
      <w:r>
        <w:t xml:space="preserve">30.</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86">
        <w:r>
          <w:rPr>
            <w:rStyle w:val="Hyperlink"/>
          </w:rPr>
          <w:t xml:space="preserve">Sustainable data analysis with snakemake</w:t>
        </w:r>
      </w:hyperlink>
      <w:r>
        <w:t xml:space="preserve">. F1000Research 10:33.</w:t>
      </w:r>
    </w:p>
    <w:bookmarkEnd w:id="87"/>
    <w:bookmarkStart w:id="89" w:name="ref-Martin2011"/>
    <w:p>
      <w:pPr>
        <w:pStyle w:val="Bibliography"/>
      </w:pPr>
      <w:r>
        <w:t xml:space="preserve">31.</w:t>
      </w:r>
      <w:r>
        <w:t xml:space="preserve"> </w:t>
      </w:r>
      <w:r>
        <w:t xml:space="preserve">	</w:t>
      </w:r>
      <w:r>
        <w:t xml:space="preserve">Martin M. 2011.</w:t>
      </w:r>
      <w:r>
        <w:t xml:space="preserve"> </w:t>
      </w:r>
      <w:hyperlink r:id="rId88">
        <w:r>
          <w:rPr>
            <w:rStyle w:val="Hyperlink"/>
          </w:rPr>
          <w:t xml:space="preserve">Cutadapt removes adapter sequences from high-throughput sequencing reads</w:t>
        </w:r>
      </w:hyperlink>
      <w:r>
        <w:t xml:space="preserve">. EMBnetjournal 17:10.</w:t>
      </w:r>
    </w:p>
    <w:bookmarkEnd w:id="89"/>
    <w:bookmarkStart w:id="91" w:name="ref-ggplot2"/>
    <w:p>
      <w:pPr>
        <w:pStyle w:val="Bibliography"/>
      </w:pPr>
      <w:r>
        <w:t xml:space="preserve">32.</w:t>
      </w:r>
      <w:r>
        <w:t xml:space="preserve"> </w:t>
      </w:r>
      <w:r>
        <w:t xml:space="preserve">	</w:t>
      </w:r>
      <w:r>
        <w:t xml:space="preserve">Wickham H. 2016. ggplot2: Elegant graphics for data analysis. Springer-Verlag New York.</w:t>
      </w:r>
      <w:r>
        <w:t xml:space="preserve"> </w:t>
      </w:r>
      <w:hyperlink r:id="rId90">
        <w:r>
          <w:rPr>
            <w:rStyle w:val="Hyperlink"/>
          </w:rPr>
          <w:t xml:space="preserve">https://ggplot2.tidyverse.org</w:t>
        </w:r>
      </w:hyperlink>
      <w:r>
        <w:t xml:space="preserve">.</w:t>
      </w:r>
    </w:p>
    <w:bookmarkEnd w:id="91"/>
    <w:bookmarkStart w:id="93" w:name="ref-pheatmap"/>
    <w:p>
      <w:pPr>
        <w:pStyle w:val="Bibliography"/>
      </w:pPr>
      <w:r>
        <w:t xml:space="preserve">33.</w:t>
      </w:r>
      <w:r>
        <w:t xml:space="preserve"> </w:t>
      </w:r>
      <w:r>
        <w:t xml:space="preserve">	</w:t>
      </w:r>
      <w:r>
        <w:t xml:space="preserve">Kolde R. 2019. Pheatmap: Pretty heatmaps.</w:t>
      </w:r>
      <w:r>
        <w:t xml:space="preserve"> </w:t>
      </w:r>
      <w:hyperlink r:id="rId92">
        <w:r>
          <w:rPr>
            <w:rStyle w:val="Hyperlink"/>
          </w:rPr>
          <w:t xml:space="preserve">https://CRAN.R-project.org/package=pheatmap</w:t>
        </w:r>
      </w:hyperlink>
      <w:r>
        <w:t xml:space="preserve">.</w:t>
      </w:r>
    </w:p>
    <w:bookmarkEnd w:id="93"/>
    <w:bookmarkStart w:id="95" w:name="ref-ggvenn"/>
    <w:p>
      <w:pPr>
        <w:pStyle w:val="Bibliography"/>
      </w:pPr>
      <w:r>
        <w:t xml:space="preserve">34.</w:t>
      </w:r>
      <w:r>
        <w:t xml:space="preserve"> </w:t>
      </w:r>
      <w:r>
        <w:t xml:space="preserve">	</w:t>
      </w:r>
      <w:r>
        <w:t xml:space="preserve">Yan L. 2023. Ggvenn: Draw venn diagram by ’ggplot2’.</w:t>
      </w:r>
      <w:r>
        <w:t xml:space="preserve"> </w:t>
      </w:r>
      <w:hyperlink r:id="rId94">
        <w:r>
          <w:rPr>
            <w:rStyle w:val="Hyperlink"/>
          </w:rPr>
          <w:t xml:space="preserve">https://CRAN.R-project.org/package=ggvenn</w:t>
        </w:r>
      </w:hyperlink>
      <w:r>
        <w:t xml:space="preserve">.</w:t>
      </w:r>
    </w:p>
    <w:bookmarkEnd w:id="95"/>
    <w:bookmarkEnd w:id="96"/>
    <w:p>
      <w:r>
        <w:br w:type="page"/>
      </w:r>
    </w:p>
    <w:bookmarkEnd w:id="97"/>
    <w:bookmarkStart w:id="11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9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6537960" cy="54483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07"/>
                    <a:stretch>
                      <a:fillRect/>
                    </a:stretch>
                  </pic:blipFill>
                  <pic:spPr bwMode="auto">
                    <a:xfrm>
                      <a:off x="0" y="0"/>
                      <a:ext cx="6537960" cy="54483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supramolecular fiber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body46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r>
      <w:tr>
        <w:trPr>
          <w:cantSplit/>
          <w:trHeight w:val="144" w:hRule="auto"/>
        </w:trPr>
        body70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activator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6.71e-17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duplex unwinding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conformation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69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6.90e-19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6.30e-07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r>
      <w:tr>
        <w:trPr>
          <w:cantSplit/>
          <w:trHeight w:val="144"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r>
      <w:tr>
        <w:trPr>
          <w:cantSplit/>
          <w:trHeight w:val="144" w:hRule="auto"/>
        </w:trPr>
        body123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r>
      <w:tr>
        <w:trPr>
          <w:cantSplit/>
          <w:trHeight w:val="144"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r>
      <w:tr>
        <w:trPr>
          <w:cantSplit/>
          <w:trHeight w:val="144"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hydroxymethyl-, formyl- and related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body155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K48-linked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body45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body61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r>
      <w:tr>
        <w:trPr>
          <w:cantSplit/>
          <w:trHeight w:val="144" w:hRule="auto"/>
        </w:trPr>
        body70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r>
      <w:tr>
        <w:trPr>
          <w:cantSplit/>
          <w:trHeight w:val="144" w:hRule="auto"/>
        </w:trPr>
        body74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active monoatomic ion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phosphorylated amino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phosphotyrosine residue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body77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9.87e-23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8.65e-08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body100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r>
              <w:rPr>
                <w:rFonts w:ascii="DejaVu Sans" w:hAnsi="DejaVu Sans" w:eastAsia="DejaVu Sans" w:cs="DejaVu Sans"/>
                <w:i w:val="false"/>
                <w:b w:val="true"/>
                <w:u w:val="none"/>
                <w:sz w:val="16"/>
                <w:szCs w:val="16"/>
                <w:color w:val="000000"/>
              </w:rPr>
              <w:br/>
            </w:r>
            <w:r>
              <w:rPr>
                <w:rFonts w:ascii="DejaVu Sans" w:hAnsi="DejaVu Sans" w:eastAsia="DejaVu Sans" w:cs="DejaVu Sans"/>
                <w:i w:val="false"/>
                <w:b w:val="true"/>
                <w:u w:val="none"/>
                <w:sz w:val="16"/>
                <w:szCs w:val="16"/>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w:r>
        <w:br w:type="page"/>
      </w:r>
    </w:p>
    <w:bookmarkEnd w:id="110"/>
    <w:bookmarkStart w:id="111" w:name="supplementary-informationmaterials"/>
    <w:p>
      <w:pPr>
        <w:pStyle w:val="Heading2"/>
      </w:pPr>
      <w:r>
        <w:t xml:space="preserve">SUPPLEMENTARY INFORMATION/MATERIALS</w:t>
      </w:r>
    </w:p>
    <w:bookmarkEnd w:id="11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98" Type="http://schemas.openxmlformats.org/officeDocument/2006/relationships/image" Target="media/rId98.png"/>
<Relationship Id="rId104" Type="http://schemas.openxmlformats.org/officeDocument/2006/relationships/image" Target="media/rId104.png"/>
<Relationship Id="rId107" Type="http://schemas.openxmlformats.org/officeDocument/2006/relationships/image" Target="media/rId107.png"/>
<Relationship Id="rId101" Type="http://schemas.openxmlformats.org/officeDocument/2006/relationships/image" Target="media/rId101.png"/>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and Other Biological Processes</dc:title>
  <dc:creator/>
  <cp:keywords/>
  <dcterms:created xsi:type="dcterms:W3CDTF">2024-09-04T05:15:23Z</dcterms:created>
  <dcterms:modified xsi:type="dcterms:W3CDTF">2024-09-03T23:15:24Z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